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940" w:rsidRDefault="004C6940" w:rsidP="004C6940">
      <w:pPr>
        <w:spacing w:line="0" w:lineRule="atLeas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4C6940" w:rsidRDefault="004C6940" w:rsidP="004C6940">
      <w:pPr>
        <w:spacing w:line="0" w:lineRule="atLeast"/>
        <w:jc w:val="center"/>
        <w:rPr>
          <w:rFonts w:ascii="华文中宋" w:eastAsia="华文中宋" w:hAnsi="华文中宋"/>
          <w:sz w:val="44"/>
          <w:szCs w:val="44"/>
        </w:rPr>
      </w:pPr>
    </w:p>
    <w:p w:rsidR="004C6940" w:rsidRDefault="004C6940" w:rsidP="004C6940">
      <w:pPr>
        <w:spacing w:line="0" w:lineRule="atLeas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中国科学院软件研究所工会</w:t>
      </w:r>
    </w:p>
    <w:p w:rsidR="004C6940" w:rsidRDefault="004C6940" w:rsidP="004C6940">
      <w:pPr>
        <w:spacing w:line="0" w:lineRule="atLeas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2025年会员生日蛋糕</w:t>
      </w:r>
      <w:proofErr w:type="gramStart"/>
      <w:r>
        <w:rPr>
          <w:rFonts w:ascii="华文中宋" w:eastAsia="华文中宋" w:hAnsi="华文中宋" w:hint="eastAsia"/>
          <w:sz w:val="44"/>
          <w:szCs w:val="44"/>
        </w:rPr>
        <w:t>券</w:t>
      </w:r>
      <w:proofErr w:type="gramEnd"/>
      <w:r>
        <w:rPr>
          <w:rFonts w:ascii="华文中宋" w:eastAsia="华文中宋" w:hAnsi="华文中宋" w:hint="eastAsia"/>
          <w:sz w:val="44"/>
          <w:szCs w:val="44"/>
        </w:rPr>
        <w:t>采购需求</w:t>
      </w:r>
    </w:p>
    <w:p w:rsidR="004C6940" w:rsidRDefault="004C6940" w:rsidP="004C694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1508"/>
        <w:gridCol w:w="1629"/>
        <w:gridCol w:w="2392"/>
      </w:tblGrid>
      <w:tr w:rsidR="004C6940" w:rsidTr="003922BB">
        <w:trPr>
          <w:trHeight w:val="637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40" w:rsidRDefault="004C6940" w:rsidP="003922BB">
            <w:pPr>
              <w:jc w:val="center"/>
              <w:rPr>
                <w:rFonts w:ascii="黑体" w:eastAsia="黑体" w:hAnsi="黑体" w:cs="仿宋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仿宋" w:hint="eastAsia"/>
                <w:sz w:val="30"/>
                <w:szCs w:val="30"/>
              </w:rPr>
              <w:t>货物需求</w:t>
            </w:r>
          </w:p>
        </w:tc>
      </w:tr>
      <w:tr w:rsidR="004C6940" w:rsidTr="003922BB">
        <w:trPr>
          <w:trHeight w:val="5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40" w:rsidRDefault="004C6940" w:rsidP="003922BB">
            <w:pPr>
              <w:tabs>
                <w:tab w:val="left" w:pos="945"/>
                <w:tab w:val="left" w:pos="2977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</w:rPr>
              <w:t xml:space="preserve"> 产品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40" w:rsidRDefault="004C6940" w:rsidP="003922BB">
            <w:pPr>
              <w:tabs>
                <w:tab w:val="left" w:pos="945"/>
                <w:tab w:val="left" w:pos="2977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40" w:rsidRDefault="004C6940" w:rsidP="003922BB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</w:rPr>
              <w:t>预算金额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40" w:rsidRDefault="004C6940" w:rsidP="003922BB">
            <w:pPr>
              <w:spacing w:line="360" w:lineRule="auto"/>
              <w:ind w:left="678" w:hangingChars="225" w:hanging="678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</w:rPr>
              <w:t>交货期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40" w:rsidRDefault="004C6940" w:rsidP="003922BB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</w:rPr>
              <w:t>交货地点</w:t>
            </w:r>
          </w:p>
        </w:tc>
      </w:tr>
      <w:tr w:rsidR="004C6940" w:rsidTr="003922BB">
        <w:trPr>
          <w:trHeight w:val="11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40" w:rsidRDefault="004C6940" w:rsidP="003922BB">
            <w:pPr>
              <w:spacing w:line="0" w:lineRule="atLeast"/>
              <w:jc w:val="center"/>
              <w:rPr>
                <w:rFonts w:ascii="仿宋_GB2312" w:eastAsia="仿宋_GB2312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仿宋" w:hint="eastAsia"/>
                <w:sz w:val="24"/>
                <w:szCs w:val="24"/>
              </w:rPr>
              <w:t>生日蛋糕</w:t>
            </w:r>
            <w:proofErr w:type="gramStart"/>
            <w:r>
              <w:rPr>
                <w:rFonts w:ascii="仿宋_GB2312" w:eastAsia="仿宋_GB2312" w:hAnsiTheme="minorEastAsia" w:cs="仿宋" w:hint="eastAsia"/>
                <w:sz w:val="24"/>
                <w:szCs w:val="24"/>
              </w:rPr>
              <w:t>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40" w:rsidRDefault="004C6940" w:rsidP="003922B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40" w:rsidRDefault="004C6940" w:rsidP="003922B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464000元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40" w:rsidRDefault="004C6940" w:rsidP="003922BB">
            <w:pPr>
              <w:spacing w:line="0" w:lineRule="atLeast"/>
              <w:jc w:val="center"/>
              <w:rPr>
                <w:rFonts w:ascii="仿宋_GB2312" w:eastAsia="仿宋_GB2312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仿宋" w:hint="eastAsia"/>
                <w:color w:val="000000"/>
                <w:sz w:val="24"/>
                <w:szCs w:val="24"/>
              </w:rPr>
              <w:t>合同签订后</w:t>
            </w:r>
          </w:p>
          <w:p w:rsidR="004C6940" w:rsidRDefault="004C6940" w:rsidP="003922BB">
            <w:pPr>
              <w:spacing w:line="0" w:lineRule="atLeast"/>
              <w:jc w:val="center"/>
              <w:rPr>
                <w:rFonts w:ascii="仿宋_GB2312" w:eastAsia="仿宋_GB2312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仿宋" w:hint="eastAsia"/>
                <w:color w:val="000000"/>
                <w:sz w:val="24"/>
                <w:szCs w:val="24"/>
              </w:rPr>
              <w:t>15日内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40" w:rsidRDefault="004C6940" w:rsidP="003922BB">
            <w:pPr>
              <w:spacing w:line="0" w:lineRule="atLeas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北京市海淀区</w:t>
            </w:r>
          </w:p>
          <w:p w:rsidR="004C6940" w:rsidRDefault="004C6940" w:rsidP="003922BB">
            <w:pPr>
              <w:spacing w:line="0" w:lineRule="atLeast"/>
              <w:jc w:val="center"/>
              <w:rPr>
                <w:rFonts w:ascii="仿宋_GB2312" w:eastAsia="仿宋_GB2312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中关村</w:t>
            </w:r>
            <w: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南四街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4号</w:t>
            </w:r>
          </w:p>
        </w:tc>
      </w:tr>
      <w:tr w:rsidR="004C6940" w:rsidTr="003922BB">
        <w:trPr>
          <w:trHeight w:val="514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40" w:rsidRDefault="004C6940" w:rsidP="003922BB">
            <w:pPr>
              <w:spacing w:line="360" w:lineRule="auto"/>
              <w:jc w:val="left"/>
              <w:rPr>
                <w:rFonts w:ascii="仿宋_GB2312" w:eastAsia="仿宋_GB2312" w:hAnsiTheme="minorEastAsia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生日蛋糕</w:t>
            </w:r>
            <w:proofErr w:type="gramStart"/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券</w:t>
            </w:r>
            <w:proofErr w:type="gramEnd"/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技术指标及要求:</w:t>
            </w:r>
          </w:p>
        </w:tc>
      </w:tr>
      <w:tr w:rsidR="004C6940" w:rsidTr="003922BB">
        <w:trPr>
          <w:trHeight w:val="1112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40" w:rsidRDefault="004C6940" w:rsidP="003922BB">
            <w:pPr>
              <w:spacing w:line="360" w:lineRule="auto"/>
              <w:ind w:firstLineChars="214" w:firstLine="642"/>
              <w:rPr>
                <w:rFonts w:ascii="仿宋_GB2312" w:eastAsia="仿宋_GB2312" w:hAnsiTheme="minorEastAsia" w:cs="仿宋"/>
                <w:sz w:val="30"/>
                <w:szCs w:val="30"/>
              </w:rPr>
            </w:pPr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1.生日蛋糕</w:t>
            </w:r>
            <w:proofErr w:type="gramStart"/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券</w:t>
            </w:r>
            <w:proofErr w:type="gramEnd"/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至少有2年有效期，如生日蛋糕</w:t>
            </w:r>
            <w:proofErr w:type="gramStart"/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券</w:t>
            </w:r>
            <w:proofErr w:type="gramEnd"/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过期，应免费为客户提供延期服务，使用范围广。</w:t>
            </w:r>
          </w:p>
          <w:p w:rsidR="004C6940" w:rsidRDefault="004C6940" w:rsidP="003922BB">
            <w:pPr>
              <w:spacing w:line="360" w:lineRule="auto"/>
              <w:ind w:firstLineChars="214" w:firstLine="642"/>
              <w:rPr>
                <w:rFonts w:ascii="仿宋_GB2312" w:eastAsia="仿宋_GB2312" w:hAnsiTheme="minorEastAsia" w:cs="仿宋"/>
                <w:sz w:val="30"/>
                <w:szCs w:val="30"/>
              </w:rPr>
            </w:pPr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2.生日蛋糕</w:t>
            </w:r>
            <w:proofErr w:type="gramStart"/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券</w:t>
            </w:r>
            <w:proofErr w:type="gramEnd"/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应有多种兑换方式，安全性强，必须</w:t>
            </w:r>
            <w:proofErr w:type="gramStart"/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有线上</w:t>
            </w:r>
            <w:proofErr w:type="gramEnd"/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兑换和线下兑换。该券功能必须与实体店直接消费具有同等效力，实际消费金额等值扣除</w:t>
            </w:r>
            <w:proofErr w:type="gramStart"/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券</w:t>
            </w:r>
            <w:proofErr w:type="gramEnd"/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内充值金额且无任何附加费用。可一次或分次购买销售的任何商品，不受法定节假日等假期限制，全年皆可正常使用。</w:t>
            </w:r>
          </w:p>
          <w:p w:rsidR="004C6940" w:rsidRDefault="004C6940" w:rsidP="003922BB">
            <w:pPr>
              <w:spacing w:line="360" w:lineRule="auto"/>
              <w:ind w:firstLineChars="214" w:firstLine="642"/>
              <w:rPr>
                <w:rFonts w:ascii="仿宋_GB2312" w:eastAsia="仿宋_GB2312" w:hAnsiTheme="minorEastAsia" w:cs="仿宋"/>
                <w:sz w:val="30"/>
                <w:szCs w:val="30"/>
              </w:rPr>
            </w:pPr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3.供应商应提供服务方案，方案中应明确生日蛋糕</w:t>
            </w:r>
            <w:proofErr w:type="gramStart"/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券商家明细</w:t>
            </w:r>
            <w:proofErr w:type="gramEnd"/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及兑换使用流程等。</w:t>
            </w:r>
          </w:p>
          <w:p w:rsidR="004C6940" w:rsidRDefault="004C6940" w:rsidP="003922BB">
            <w:pPr>
              <w:spacing w:line="360" w:lineRule="auto"/>
              <w:ind w:firstLineChars="214" w:firstLine="642"/>
              <w:rPr>
                <w:rFonts w:ascii="仿宋_GB2312" w:eastAsia="仿宋_GB2312" w:hAnsiTheme="minorEastAsia" w:cs="仿宋"/>
                <w:sz w:val="30"/>
                <w:szCs w:val="30"/>
              </w:rPr>
            </w:pPr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 xml:space="preserve">4.供应商需在同样通兑条件下，兑换使用时无须收取任何形式的服务费。 </w:t>
            </w:r>
          </w:p>
          <w:p w:rsidR="004C6940" w:rsidRDefault="004C6940" w:rsidP="003922BB">
            <w:pPr>
              <w:spacing w:line="360" w:lineRule="auto"/>
              <w:ind w:firstLineChars="214" w:firstLine="642"/>
              <w:rPr>
                <w:rFonts w:ascii="仿宋_GB2312" w:eastAsia="仿宋_GB2312" w:hAnsiTheme="minorEastAsia" w:cs="仿宋"/>
                <w:sz w:val="30"/>
                <w:szCs w:val="30"/>
              </w:rPr>
            </w:pPr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5.使用生日蛋糕</w:t>
            </w:r>
            <w:proofErr w:type="gramStart"/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券</w:t>
            </w:r>
            <w:proofErr w:type="gramEnd"/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时无须再进行任何形式的注册（如绑定</w:t>
            </w:r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lastRenderedPageBreak/>
              <w:t>手机号或填写个人信息等），如果有接收兑换码或验证码时输入手机号除外。</w:t>
            </w:r>
          </w:p>
          <w:p w:rsidR="004C6940" w:rsidRDefault="004C6940" w:rsidP="003922BB">
            <w:pPr>
              <w:spacing w:line="360" w:lineRule="auto"/>
              <w:ind w:firstLineChars="214" w:firstLine="642"/>
              <w:rPr>
                <w:rFonts w:ascii="仿宋_GB2312" w:eastAsia="仿宋_GB2312" w:hAnsiTheme="minorEastAsia" w:cs="仿宋"/>
                <w:sz w:val="30"/>
                <w:szCs w:val="30"/>
              </w:rPr>
            </w:pPr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6.供应商需承担由生日蛋糕</w:t>
            </w:r>
            <w:proofErr w:type="gramStart"/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券</w:t>
            </w:r>
            <w:proofErr w:type="gramEnd"/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兑换所引起的客户投诉并进行及时有效的处理。</w:t>
            </w:r>
          </w:p>
          <w:p w:rsidR="004C6940" w:rsidRDefault="004C6940" w:rsidP="003922BB">
            <w:pPr>
              <w:spacing w:line="360" w:lineRule="auto"/>
              <w:ind w:firstLineChars="214" w:firstLine="642"/>
              <w:rPr>
                <w:rFonts w:ascii="仿宋_GB2312" w:eastAsia="仿宋_GB2312" w:hAnsiTheme="minorEastAsia" w:cs="仿宋"/>
                <w:sz w:val="30"/>
                <w:szCs w:val="30"/>
              </w:rPr>
            </w:pPr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7.具有专业负责的客服团队，如遇生日蛋糕</w:t>
            </w:r>
            <w:proofErr w:type="gramStart"/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券</w:t>
            </w:r>
            <w:proofErr w:type="gramEnd"/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无法正常使用等问题时，能及时为客户提供帮助；</w:t>
            </w:r>
          </w:p>
          <w:p w:rsidR="004C6940" w:rsidRDefault="004C6940" w:rsidP="003922BB">
            <w:pPr>
              <w:spacing w:line="360" w:lineRule="auto"/>
              <w:ind w:firstLineChars="214" w:firstLine="642"/>
              <w:rPr>
                <w:rFonts w:ascii="仿宋_GB2312" w:eastAsia="仿宋_GB2312" w:hAnsiTheme="minorEastAsia" w:cs="仿宋"/>
                <w:sz w:val="30"/>
                <w:szCs w:val="30"/>
              </w:rPr>
            </w:pPr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8.供应商须有正规官方网站。</w:t>
            </w:r>
          </w:p>
          <w:p w:rsidR="004C6940" w:rsidRDefault="004C6940" w:rsidP="003922BB">
            <w:pPr>
              <w:spacing w:line="360" w:lineRule="auto"/>
              <w:ind w:firstLineChars="214" w:firstLine="642"/>
              <w:rPr>
                <w:rFonts w:ascii="仿宋_GB2312" w:eastAsia="仿宋_GB2312" w:hAnsiTheme="minorEastAsia" w:cs="仿宋"/>
                <w:sz w:val="30"/>
                <w:szCs w:val="30"/>
              </w:rPr>
            </w:pPr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9.当</w:t>
            </w:r>
            <w:proofErr w:type="gramStart"/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券</w:t>
            </w:r>
            <w:proofErr w:type="gramEnd"/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内余额不足以支付一次消费的金额，支持客户现场自主补差价功能，不需再进行充值。</w:t>
            </w:r>
          </w:p>
          <w:p w:rsidR="004C6940" w:rsidRDefault="004C6940" w:rsidP="003922BB">
            <w:pPr>
              <w:spacing w:line="360" w:lineRule="auto"/>
              <w:ind w:firstLineChars="214" w:firstLine="642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10.生日蛋糕</w:t>
            </w:r>
            <w:proofErr w:type="gramStart"/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券</w:t>
            </w:r>
            <w:proofErr w:type="gramEnd"/>
            <w:r>
              <w:rPr>
                <w:rFonts w:ascii="仿宋_GB2312" w:eastAsia="仿宋_GB2312" w:hAnsiTheme="minorEastAsia" w:cs="仿宋" w:hint="eastAsia"/>
                <w:sz w:val="30"/>
                <w:szCs w:val="30"/>
              </w:rPr>
              <w:t>的券面和封面须定制图案，并标注软件所 LOGO、面值金额、第一次的使用有效期、客服电话、“祝您生日快乐！”字样。</w:t>
            </w:r>
          </w:p>
        </w:tc>
      </w:tr>
    </w:tbl>
    <w:p w:rsidR="004C6940" w:rsidRDefault="004C6940" w:rsidP="004C6940">
      <w:pPr>
        <w:spacing w:line="0" w:lineRule="atLeast"/>
        <w:jc w:val="left"/>
        <w:rPr>
          <w:rFonts w:ascii="黑体" w:eastAsia="黑体" w:hAnsi="黑体"/>
          <w:sz w:val="32"/>
          <w:szCs w:val="32"/>
        </w:rPr>
      </w:pPr>
    </w:p>
    <w:p w:rsidR="00291FD2" w:rsidRPr="004C6940" w:rsidRDefault="00291FD2">
      <w:bookmarkStart w:id="0" w:name="_GoBack"/>
      <w:bookmarkEnd w:id="0"/>
    </w:p>
    <w:sectPr w:rsidR="00291FD2" w:rsidRPr="004C6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40"/>
    <w:rsid w:val="00291FD2"/>
    <w:rsid w:val="004C6940"/>
    <w:rsid w:val="0081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47A1E-1334-4E01-96DF-CE10CCAF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2024-11-28T10:01:00Z</dcterms:created>
  <dcterms:modified xsi:type="dcterms:W3CDTF">2024-11-28T10:01:00Z</dcterms:modified>
</cp:coreProperties>
</file>